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AD" w:rsidRPr="00517A9A" w:rsidRDefault="003714AD">
      <w:pPr>
        <w:spacing w:line="1" w:lineRule="exact"/>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517A9A" w:rsidRPr="00B717B2" w:rsidTr="00987129">
        <w:tc>
          <w:tcPr>
            <w:tcW w:w="3812" w:type="dxa"/>
            <w:hideMark/>
          </w:tcPr>
          <w:p w:rsidR="00517A9A" w:rsidRDefault="00517A9A" w:rsidP="00517A9A">
            <w:pPr>
              <w:pStyle w:val="Vnbnnidung0"/>
              <w:spacing w:line="216" w:lineRule="auto"/>
              <w:ind w:firstLine="0"/>
              <w:jc w:val="center"/>
              <w:rPr>
                <w:rFonts w:ascii="Arial" w:hAnsi="Arial" w:cs="Arial"/>
                <w:i w:val="0"/>
                <w:iCs w:val="0"/>
                <w:sz w:val="20"/>
                <w:szCs w:val="20"/>
              </w:rPr>
            </w:pPr>
            <w:r w:rsidRPr="00517A9A">
              <w:rPr>
                <w:rFonts w:ascii="Arial" w:hAnsi="Arial" w:cs="Arial"/>
                <w:i w:val="0"/>
                <w:iCs w:val="0"/>
                <w:sz w:val="20"/>
                <w:szCs w:val="20"/>
              </w:rPr>
              <w:t>TỔNG CỤC THUẾ</w:t>
            </w:r>
          </w:p>
          <w:p w:rsidR="00517A9A" w:rsidRDefault="00517A9A" w:rsidP="00517A9A">
            <w:pPr>
              <w:pStyle w:val="Vnbnnidung0"/>
              <w:spacing w:line="216" w:lineRule="auto"/>
              <w:ind w:firstLine="0"/>
              <w:jc w:val="center"/>
              <w:rPr>
                <w:rFonts w:ascii="Arial" w:hAnsi="Arial" w:cs="Arial"/>
                <w:b/>
                <w:bCs/>
                <w:i w:val="0"/>
                <w:iCs w:val="0"/>
                <w:sz w:val="20"/>
                <w:szCs w:val="20"/>
              </w:rPr>
            </w:pPr>
            <w:r w:rsidRPr="00517A9A">
              <w:rPr>
                <w:rFonts w:ascii="Arial" w:hAnsi="Arial" w:cs="Arial"/>
                <w:b/>
                <w:bCs/>
                <w:i w:val="0"/>
                <w:iCs w:val="0"/>
                <w:sz w:val="20"/>
                <w:szCs w:val="20"/>
              </w:rPr>
              <w:t>CỤC THUẾ TỈNH QUẢNG NAM</w:t>
            </w:r>
          </w:p>
          <w:p w:rsidR="00517A9A" w:rsidRDefault="00517A9A" w:rsidP="00517A9A">
            <w:pPr>
              <w:pStyle w:val="Vnbnnidung0"/>
              <w:spacing w:line="216" w:lineRule="auto"/>
              <w:ind w:firstLine="0"/>
              <w:jc w:val="center"/>
              <w:rPr>
                <w:rFonts w:ascii="Arial" w:hAnsi="Arial" w:cs="Arial"/>
                <w:i w:val="0"/>
                <w:iCs w:val="0"/>
                <w:sz w:val="20"/>
                <w:szCs w:val="20"/>
              </w:rPr>
            </w:pPr>
            <w:r w:rsidRPr="00517A9A">
              <w:rPr>
                <w:rFonts w:ascii="Arial" w:hAnsi="Arial" w:cs="Arial"/>
                <w:i w:val="0"/>
                <w:iCs w:val="0"/>
                <w:sz w:val="20"/>
                <w:szCs w:val="20"/>
              </w:rPr>
              <w:t>Số: 11043 /CTQNA-TTHT</w:t>
            </w:r>
          </w:p>
          <w:p w:rsidR="00517A9A" w:rsidRPr="005508A9" w:rsidRDefault="00517A9A" w:rsidP="00517A9A">
            <w:pPr>
              <w:pStyle w:val="Vnbnnidung0"/>
              <w:spacing w:line="216" w:lineRule="auto"/>
              <w:ind w:firstLine="0"/>
              <w:jc w:val="center"/>
              <w:rPr>
                <w:rFonts w:ascii="Arial" w:hAnsi="Arial" w:cs="Arial"/>
                <w:i w:val="0"/>
                <w:sz w:val="20"/>
                <w:szCs w:val="20"/>
              </w:rPr>
            </w:pPr>
            <w:r w:rsidRPr="00517A9A">
              <w:rPr>
                <w:rFonts w:ascii="Arial" w:hAnsi="Arial" w:cs="Arial"/>
                <w:i w:val="0"/>
                <w:sz w:val="20"/>
                <w:szCs w:val="20"/>
              </w:rPr>
              <w:t>V/v lập hóa đơn và chi phí</w:t>
            </w:r>
            <w:r w:rsidRPr="00517A9A">
              <w:rPr>
                <w:rFonts w:ascii="Arial" w:hAnsi="Arial" w:cs="Arial"/>
                <w:i w:val="0"/>
                <w:sz w:val="20"/>
                <w:szCs w:val="20"/>
                <w:lang w:val="en-US"/>
              </w:rPr>
              <w:t xml:space="preserve"> </w:t>
            </w:r>
            <w:r w:rsidRPr="00517A9A">
              <w:rPr>
                <w:rFonts w:ascii="Arial" w:hAnsi="Arial" w:cs="Arial"/>
                <w:i w:val="0"/>
                <w:sz w:val="20"/>
                <w:szCs w:val="20"/>
              </w:rPr>
              <w:t>tính thuế TNDN</w:t>
            </w:r>
          </w:p>
        </w:tc>
        <w:tc>
          <w:tcPr>
            <w:tcW w:w="4918" w:type="dxa"/>
            <w:hideMark/>
          </w:tcPr>
          <w:p w:rsidR="00517A9A" w:rsidRPr="007C6099" w:rsidRDefault="00517A9A" w:rsidP="00987129">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CỘNG HOÀ XÃ HỘI CHỦ NGHĨA VIỆT NAM</w:t>
            </w:r>
          </w:p>
          <w:p w:rsidR="00517A9A" w:rsidRPr="007C6099" w:rsidRDefault="00517A9A" w:rsidP="00987129">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Độc lập - Tự do - Hạnh phúc</w:t>
            </w:r>
          </w:p>
          <w:p w:rsidR="00517A9A" w:rsidRPr="005508A9" w:rsidRDefault="00517A9A" w:rsidP="00987129">
            <w:pPr>
              <w:pStyle w:val="Vnbnnidung0"/>
              <w:ind w:firstLine="660"/>
              <w:jc w:val="right"/>
              <w:rPr>
                <w:rFonts w:ascii="Arial" w:hAnsi="Arial" w:cs="Arial"/>
                <w:sz w:val="20"/>
                <w:szCs w:val="20"/>
              </w:rPr>
            </w:pPr>
            <w:r w:rsidRPr="005508A9">
              <w:rPr>
                <w:rFonts w:ascii="Arial" w:hAnsi="Arial" w:cs="Arial"/>
                <w:sz w:val="20"/>
                <w:szCs w:val="20"/>
              </w:rPr>
              <w:t>Quảng Nam, ngày 2</w:t>
            </w:r>
            <w:r>
              <w:rPr>
                <w:rFonts w:ascii="Arial" w:hAnsi="Arial" w:cs="Arial"/>
                <w:sz w:val="20"/>
                <w:szCs w:val="20"/>
                <w:lang w:val="en-US"/>
              </w:rPr>
              <w:t>7</w:t>
            </w:r>
            <w:r w:rsidRPr="005508A9">
              <w:rPr>
                <w:rFonts w:ascii="Arial" w:hAnsi="Arial" w:cs="Arial"/>
                <w:sz w:val="20"/>
                <w:szCs w:val="20"/>
              </w:rPr>
              <w:t xml:space="preserve"> tháng 12 năm 2024</w:t>
            </w:r>
          </w:p>
          <w:p w:rsidR="00517A9A" w:rsidRPr="008C2373" w:rsidRDefault="00517A9A" w:rsidP="00987129">
            <w:pPr>
              <w:pStyle w:val="Vnbnnidung20"/>
              <w:jc w:val="right"/>
              <w:rPr>
                <w:rFonts w:ascii="Arial" w:hAnsi="Arial" w:cs="Arial"/>
                <w:sz w:val="20"/>
                <w:szCs w:val="20"/>
              </w:rPr>
            </w:pPr>
          </w:p>
        </w:tc>
      </w:tr>
    </w:tbl>
    <w:p w:rsidR="00517A9A" w:rsidRPr="00B717B2" w:rsidRDefault="00517A9A" w:rsidP="00517A9A">
      <w:pPr>
        <w:pStyle w:val="Vnbnnidung0"/>
        <w:ind w:firstLine="720"/>
        <w:jc w:val="both"/>
        <w:rPr>
          <w:rFonts w:ascii="Arial" w:hAnsi="Arial" w:cs="Arial"/>
          <w:i w:val="0"/>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517A9A" w:rsidRPr="00B717B2" w:rsidTr="00987129">
        <w:trPr>
          <w:trHeight w:val="698"/>
        </w:trPr>
        <w:tc>
          <w:tcPr>
            <w:tcW w:w="3691" w:type="dxa"/>
            <w:hideMark/>
          </w:tcPr>
          <w:p w:rsidR="00517A9A" w:rsidRPr="00B717B2" w:rsidRDefault="00517A9A" w:rsidP="00987129">
            <w:pPr>
              <w:pStyle w:val="Vnbnnidung0"/>
              <w:ind w:right="440" w:firstLine="0"/>
              <w:jc w:val="right"/>
              <w:rPr>
                <w:rFonts w:ascii="Arial" w:hAnsi="Arial" w:cs="Arial"/>
                <w:i w:val="0"/>
                <w:sz w:val="20"/>
                <w:szCs w:val="20"/>
              </w:rPr>
            </w:pPr>
            <w:r w:rsidRPr="00B717B2">
              <w:rPr>
                <w:rFonts w:ascii="Arial" w:hAnsi="Arial" w:cs="Arial"/>
                <w:i w:val="0"/>
                <w:sz w:val="20"/>
                <w:szCs w:val="20"/>
              </w:rPr>
              <w:t>Kính gửi:</w:t>
            </w:r>
          </w:p>
        </w:tc>
        <w:tc>
          <w:tcPr>
            <w:tcW w:w="5715" w:type="dxa"/>
            <w:hideMark/>
          </w:tcPr>
          <w:p w:rsidR="00517A9A" w:rsidRDefault="00517A9A" w:rsidP="00517A9A">
            <w:pPr>
              <w:pStyle w:val="Vnbnnidung0"/>
              <w:spacing w:line="223" w:lineRule="auto"/>
              <w:ind w:firstLine="0"/>
              <w:rPr>
                <w:rFonts w:ascii="Arial" w:hAnsi="Arial" w:cs="Arial"/>
                <w:i w:val="0"/>
                <w:iCs w:val="0"/>
                <w:sz w:val="20"/>
                <w:szCs w:val="20"/>
              </w:rPr>
            </w:pPr>
            <w:r w:rsidRPr="00517A9A">
              <w:rPr>
                <w:rFonts w:ascii="Arial" w:hAnsi="Arial" w:cs="Arial"/>
                <w:i w:val="0"/>
                <w:iCs w:val="0"/>
                <w:sz w:val="20"/>
                <w:szCs w:val="20"/>
              </w:rPr>
              <w:t>CÔNG TY TNHH SGI VINA</w:t>
            </w:r>
          </w:p>
          <w:p w:rsidR="00517A9A" w:rsidRPr="00517A9A" w:rsidRDefault="00517A9A" w:rsidP="00517A9A">
            <w:pPr>
              <w:pStyle w:val="Vnbnnidung0"/>
              <w:spacing w:line="223" w:lineRule="auto"/>
              <w:ind w:firstLine="0"/>
              <w:rPr>
                <w:rFonts w:ascii="Arial" w:hAnsi="Arial" w:cs="Arial"/>
                <w:sz w:val="20"/>
                <w:szCs w:val="20"/>
              </w:rPr>
            </w:pPr>
            <w:r w:rsidRPr="00517A9A">
              <w:rPr>
                <w:rFonts w:ascii="Arial" w:hAnsi="Arial" w:cs="Arial"/>
                <w:i w:val="0"/>
                <w:iCs w:val="0"/>
                <w:sz w:val="20"/>
                <w:szCs w:val="20"/>
              </w:rPr>
              <w:t xml:space="preserve">MST: 4001258658, email: </w:t>
            </w:r>
            <w:hyperlink r:id="rId7" w:history="1">
              <w:r w:rsidRPr="00517A9A">
                <w:rPr>
                  <w:rFonts w:ascii="Arial" w:hAnsi="Arial" w:cs="Arial"/>
                  <w:i w:val="0"/>
                  <w:iCs w:val="0"/>
                  <w:sz w:val="20"/>
                  <w:szCs w:val="20"/>
                </w:rPr>
                <w:t>htrang@relats.com</w:t>
              </w:r>
            </w:hyperlink>
          </w:p>
          <w:p w:rsidR="00517A9A" w:rsidRPr="002E7A88" w:rsidRDefault="00517A9A" w:rsidP="00517A9A">
            <w:pPr>
              <w:pStyle w:val="Vnbnnidung0"/>
              <w:ind w:firstLine="0"/>
              <w:jc w:val="both"/>
              <w:rPr>
                <w:rFonts w:ascii="Arial" w:hAnsi="Arial" w:cs="Arial"/>
                <w:i w:val="0"/>
                <w:sz w:val="20"/>
                <w:szCs w:val="20"/>
              </w:rPr>
            </w:pPr>
            <w:r w:rsidRPr="00517A9A">
              <w:rPr>
                <w:rFonts w:ascii="Arial" w:hAnsi="Arial" w:cs="Arial"/>
                <w:i w:val="0"/>
                <w:sz w:val="20"/>
                <w:szCs w:val="20"/>
              </w:rPr>
              <w:t>Địa chỉ: Lô 25, Khu công nghiệp Điện Nam - Điện Ngọc, phường Điện Ngọc,</w:t>
            </w:r>
            <w:r>
              <w:rPr>
                <w:rFonts w:ascii="Arial" w:hAnsi="Arial" w:cs="Arial"/>
                <w:i w:val="0"/>
                <w:sz w:val="20"/>
                <w:szCs w:val="20"/>
                <w:lang w:val="en-US"/>
              </w:rPr>
              <w:t xml:space="preserve"> </w:t>
            </w:r>
            <w:r w:rsidRPr="00517A9A">
              <w:rPr>
                <w:rFonts w:ascii="Arial" w:hAnsi="Arial" w:cs="Arial"/>
                <w:i w:val="0"/>
                <w:sz w:val="20"/>
                <w:szCs w:val="20"/>
              </w:rPr>
              <w:t>thị xã Điện Bàn, tỉnh Quảng Nam</w:t>
            </w:r>
          </w:p>
        </w:tc>
      </w:tr>
    </w:tbl>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i w:val="0"/>
          <w:iCs w:val="0"/>
          <w:sz w:val="20"/>
          <w:szCs w:val="20"/>
        </w:rPr>
        <w:t xml:space="preserve">Cục Thuế tỉnh Quảng Nam nhận được văn bản số 02-24/SGI-KTT ngày 20/12/2024 của </w:t>
      </w:r>
      <w:r w:rsidRPr="00517A9A">
        <w:rPr>
          <w:rFonts w:ascii="Arial" w:hAnsi="Arial" w:cs="Arial"/>
          <w:i w:val="0"/>
          <w:iCs w:val="0"/>
          <w:sz w:val="20"/>
          <w:szCs w:val="20"/>
        </w:rPr>
        <w:t>CÔNG TY T</w:t>
      </w:r>
      <w:r w:rsidRPr="00517A9A">
        <w:rPr>
          <w:rFonts w:ascii="Arial" w:hAnsi="Arial" w:cs="Arial"/>
          <w:i w:val="0"/>
          <w:iCs w:val="0"/>
          <w:sz w:val="20"/>
          <w:szCs w:val="20"/>
        </w:rPr>
        <w:t xml:space="preserve">NHH SGI VINA </w:t>
      </w:r>
      <w:r w:rsidRPr="00517A9A">
        <w:rPr>
          <w:rFonts w:ascii="Arial" w:hAnsi="Arial" w:cs="Arial"/>
          <w:i w:val="0"/>
          <w:iCs w:val="0"/>
          <w:sz w:val="20"/>
          <w:szCs w:val="20"/>
        </w:rPr>
        <w:t xml:space="preserve">(gọi tắt là Công ty) </w:t>
      </w:r>
      <w:r w:rsidRPr="00517A9A">
        <w:rPr>
          <w:rFonts w:ascii="Arial" w:hAnsi="Arial" w:cs="Arial"/>
          <w:i w:val="0"/>
          <w:iCs w:val="0"/>
          <w:sz w:val="20"/>
          <w:szCs w:val="20"/>
        </w:rPr>
        <w:t>về thời điểm lập hóa đơn và chi phí tính thuế thu nhập doanh nghiệp (TNDN)</w:t>
      </w:r>
      <w:r w:rsidRPr="00517A9A">
        <w:rPr>
          <w:rFonts w:ascii="Arial" w:hAnsi="Arial" w:cs="Arial"/>
          <w:i w:val="0"/>
          <w:iCs w:val="0"/>
          <w:sz w:val="20"/>
          <w:szCs w:val="20"/>
        </w:rPr>
        <w:t>. Vấn đề Công ty nêu, Cục Thuế có ý kiến như sau:</w:t>
      </w:r>
    </w:p>
    <w:p w:rsidR="003714AD" w:rsidRPr="00517A9A" w:rsidRDefault="00517A9A" w:rsidP="00517A9A">
      <w:pPr>
        <w:pStyle w:val="Vnbnnidung0"/>
        <w:tabs>
          <w:tab w:val="left" w:pos="1172"/>
        </w:tabs>
        <w:spacing w:after="120"/>
        <w:ind w:firstLine="284"/>
        <w:rPr>
          <w:rFonts w:ascii="Arial" w:hAnsi="Arial" w:cs="Arial"/>
          <w:sz w:val="20"/>
          <w:szCs w:val="20"/>
        </w:rPr>
      </w:pPr>
      <w:bookmarkStart w:id="0" w:name="bookmark0"/>
      <w:bookmarkEnd w:id="0"/>
      <w:r>
        <w:rPr>
          <w:rFonts w:ascii="Arial" w:hAnsi="Arial" w:cs="Arial"/>
          <w:i w:val="0"/>
          <w:iCs w:val="0"/>
          <w:sz w:val="20"/>
          <w:szCs w:val="20"/>
          <w:lang w:val="en-US"/>
        </w:rPr>
        <w:t xml:space="preserve">- </w:t>
      </w:r>
      <w:r w:rsidR="009A5AC4" w:rsidRPr="00517A9A">
        <w:rPr>
          <w:rFonts w:ascii="Arial" w:hAnsi="Arial" w:cs="Arial"/>
          <w:i w:val="0"/>
          <w:iCs w:val="0"/>
          <w:sz w:val="20"/>
          <w:szCs w:val="20"/>
        </w:rPr>
        <w:t>Tại khoản 1 Điều 9 Nghị định số 123/2020/NĐ-CP ngày 19/10/2020 của Chính phủ quy định:</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 xml:space="preserve">“1. Thời điểm lập hóa đơn đối với bán hàng hóa (bao gồm cả bán tài sản nhà nước, tài sản tịch thu, sung quỹ nhà nước và bán hàng dự trữ quốc gia) là </w:t>
      </w:r>
      <w:r w:rsidRPr="00517A9A">
        <w:rPr>
          <w:rFonts w:ascii="Arial" w:hAnsi="Arial" w:cs="Arial"/>
          <w:sz w:val="20"/>
          <w:szCs w:val="20"/>
          <w:u w:val="single"/>
        </w:rPr>
        <w:t>thời điểm chuyển giao quyền sở hữu hoặc quyền sử dụng hàng hóa cho người mua,</w:t>
      </w:r>
      <w:r w:rsidRPr="00517A9A">
        <w:rPr>
          <w:rFonts w:ascii="Arial" w:hAnsi="Arial" w:cs="Arial"/>
          <w:sz w:val="20"/>
          <w:szCs w:val="20"/>
        </w:rPr>
        <w:t xml:space="preserve"> không phân biệt đã thu được t</w:t>
      </w:r>
      <w:r w:rsidRPr="00517A9A">
        <w:rPr>
          <w:rFonts w:ascii="Arial" w:hAnsi="Arial" w:cs="Arial"/>
          <w:sz w:val="20"/>
          <w:szCs w:val="20"/>
        </w:rPr>
        <w:t>iền hay chưa thu được tiền.”</w:t>
      </w:r>
    </w:p>
    <w:p w:rsidR="003714AD" w:rsidRPr="00517A9A" w:rsidRDefault="00517A9A" w:rsidP="00517A9A">
      <w:pPr>
        <w:pStyle w:val="Vnbnnidung0"/>
        <w:tabs>
          <w:tab w:val="left" w:pos="1182"/>
        </w:tabs>
        <w:spacing w:after="120"/>
        <w:ind w:firstLine="284"/>
        <w:rPr>
          <w:rFonts w:ascii="Arial" w:hAnsi="Arial" w:cs="Arial"/>
          <w:sz w:val="20"/>
          <w:szCs w:val="20"/>
        </w:rPr>
      </w:pPr>
      <w:bookmarkStart w:id="1" w:name="bookmark1"/>
      <w:bookmarkEnd w:id="1"/>
      <w:r>
        <w:rPr>
          <w:rFonts w:ascii="Arial" w:hAnsi="Arial" w:cs="Arial"/>
          <w:i w:val="0"/>
          <w:iCs w:val="0"/>
          <w:sz w:val="20"/>
          <w:szCs w:val="20"/>
          <w:lang w:val="en-US"/>
        </w:rPr>
        <w:t xml:space="preserve">- </w:t>
      </w:r>
      <w:r w:rsidR="009A5AC4" w:rsidRPr="00517A9A">
        <w:rPr>
          <w:rFonts w:ascii="Arial" w:hAnsi="Arial" w:cs="Arial"/>
          <w:i w:val="0"/>
          <w:iCs w:val="0"/>
          <w:sz w:val="20"/>
          <w:szCs w:val="20"/>
        </w:rPr>
        <w:t>Tại khoản 50 Điều 1 Thông tư số 39/2018/TT-BTC ngày 20/4/2018 của Bộ Tài chính (sửa đổi, bổ sung Điều 74 Thông tư số 38/2015/TT-BTC) quy định chung đối với hàng hóa xuất khẩu, nhập khẩu của doanh nghiệp chế xuất:</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i w:val="0"/>
          <w:iCs w:val="0"/>
          <w:sz w:val="20"/>
          <w:szCs w:val="20"/>
        </w:rPr>
        <w:t>“</w:t>
      </w:r>
      <w:r w:rsidRPr="00517A9A">
        <w:rPr>
          <w:rFonts w:ascii="Arial" w:hAnsi="Arial" w:cs="Arial"/>
          <w:sz w:val="20"/>
          <w:szCs w:val="20"/>
        </w:rPr>
        <w:t>1. Hàng hóa n</w:t>
      </w:r>
      <w:r w:rsidRPr="00517A9A">
        <w:rPr>
          <w:rFonts w:ascii="Arial" w:hAnsi="Arial" w:cs="Arial"/>
          <w:sz w:val="20"/>
          <w:szCs w:val="20"/>
        </w:rPr>
        <w:t>hập khẩu phục vụ hoạt động sản xuất sản phẩm xuất khẩu của DNCX</w:t>
      </w:r>
      <w:r w:rsidR="00517A9A">
        <w:rPr>
          <w:rFonts w:ascii="Arial" w:hAnsi="Arial" w:cs="Arial"/>
          <w:sz w:val="20"/>
          <w:szCs w:val="20"/>
          <w:lang w:val="en-US"/>
        </w:rPr>
        <w:t xml:space="preserve"> </w:t>
      </w:r>
      <w:r w:rsidRPr="00517A9A">
        <w:rPr>
          <w:rFonts w:ascii="Arial" w:hAnsi="Arial" w:cs="Arial"/>
          <w:sz w:val="20"/>
          <w:szCs w:val="20"/>
          <w:u w:val="single"/>
        </w:rPr>
        <w:t>phải thực hiện thủ tục hải quan theo quy định và sử dụng đúng với mục đích sản xuất, trừ các trường hợp sau DNCX và đối tác của DNCX</w:t>
      </w:r>
      <w:r w:rsidR="00517A9A">
        <w:rPr>
          <w:rFonts w:ascii="Arial" w:hAnsi="Arial" w:cs="Arial"/>
          <w:sz w:val="20"/>
          <w:szCs w:val="20"/>
          <w:u w:val="single"/>
          <w:lang w:val="en-US"/>
        </w:rPr>
        <w:t xml:space="preserve"> </w:t>
      </w:r>
      <w:r w:rsidRPr="00517A9A">
        <w:rPr>
          <w:rFonts w:ascii="Arial" w:hAnsi="Arial" w:cs="Arial"/>
          <w:sz w:val="20"/>
          <w:szCs w:val="20"/>
          <w:u w:val="single"/>
        </w:rPr>
        <w:t>được lựa chọn thực hiện hoặc không thực hiện thủ tục hải quan</w:t>
      </w:r>
      <w:r w:rsidRPr="00517A9A">
        <w:rPr>
          <w:rFonts w:ascii="Arial" w:hAnsi="Arial" w:cs="Arial"/>
          <w:sz w:val="20"/>
          <w:szCs w:val="20"/>
        </w:rPr>
        <w:t>:</w:t>
      </w:r>
    </w:p>
    <w:p w:rsidR="003714AD" w:rsidRPr="00517A9A" w:rsidRDefault="00517A9A" w:rsidP="00517A9A">
      <w:pPr>
        <w:pStyle w:val="Vnbnnidung0"/>
        <w:tabs>
          <w:tab w:val="left" w:pos="1297"/>
        </w:tabs>
        <w:spacing w:after="120"/>
        <w:ind w:firstLine="284"/>
        <w:rPr>
          <w:rFonts w:ascii="Arial" w:hAnsi="Arial" w:cs="Arial"/>
          <w:sz w:val="20"/>
          <w:szCs w:val="20"/>
        </w:rPr>
      </w:pPr>
      <w:bookmarkStart w:id="2" w:name="bookmark2"/>
      <w:bookmarkEnd w:id="2"/>
      <w:r>
        <w:rPr>
          <w:rFonts w:ascii="Arial" w:hAnsi="Arial" w:cs="Arial"/>
          <w:sz w:val="20"/>
          <w:szCs w:val="20"/>
          <w:lang w:val="en-US"/>
        </w:rPr>
        <w:t xml:space="preserve">a) </w:t>
      </w:r>
      <w:r w:rsidR="009A5AC4" w:rsidRPr="00517A9A">
        <w:rPr>
          <w:rFonts w:ascii="Arial" w:hAnsi="Arial" w:cs="Arial"/>
          <w:sz w:val="20"/>
          <w:szCs w:val="20"/>
        </w:rPr>
        <w:t>Hàng hóa mua, bán, thuê, mượn giữa các DNCX với nhau. Trường hợp hàng hóa là nguyên liệu, vật tư, máy móc, thiết bị của hợp đồng gia công giữa các DNCX thì thực hiện theo quy định tại khoản 3 Điều 76 Thông tư này;</w:t>
      </w:r>
    </w:p>
    <w:p w:rsidR="003714AD" w:rsidRPr="00517A9A" w:rsidRDefault="00517A9A" w:rsidP="00517A9A">
      <w:pPr>
        <w:pStyle w:val="Vnbnnidung0"/>
        <w:tabs>
          <w:tab w:val="left" w:pos="1302"/>
        </w:tabs>
        <w:spacing w:after="120"/>
        <w:ind w:firstLine="284"/>
        <w:rPr>
          <w:rFonts w:ascii="Arial" w:hAnsi="Arial" w:cs="Arial"/>
          <w:sz w:val="20"/>
          <w:szCs w:val="20"/>
        </w:rPr>
      </w:pPr>
      <w:bookmarkStart w:id="3" w:name="bookmark3"/>
      <w:bookmarkEnd w:id="3"/>
      <w:r>
        <w:rPr>
          <w:rFonts w:ascii="Arial" w:hAnsi="Arial" w:cs="Arial"/>
          <w:sz w:val="20"/>
          <w:szCs w:val="20"/>
          <w:lang w:val="en-US"/>
        </w:rPr>
        <w:t xml:space="preserve">b) </w:t>
      </w:r>
      <w:r w:rsidR="009A5AC4" w:rsidRPr="00517A9A">
        <w:rPr>
          <w:rFonts w:ascii="Arial" w:hAnsi="Arial" w:cs="Arial"/>
          <w:sz w:val="20"/>
          <w:szCs w:val="20"/>
        </w:rPr>
        <w:t>Hàng hóa là vật liệu xây dựng, văn phòng</w:t>
      </w:r>
      <w:r w:rsidR="009A5AC4" w:rsidRPr="00517A9A">
        <w:rPr>
          <w:rFonts w:ascii="Arial" w:hAnsi="Arial" w:cs="Arial"/>
          <w:sz w:val="20"/>
          <w:szCs w:val="20"/>
        </w:rPr>
        <w:t xml:space="preserve"> phẩm, lương thực, thực phẩm, hàng tiêu dùng mua từ nội địa để xây dựng công trình, phục vụ cho điều hành bộ máy văn phòng và sinh hoạt của cán bộ, công nhân làm việc tại DNCX;</w:t>
      </w:r>
    </w:p>
    <w:p w:rsidR="003714AD" w:rsidRPr="00517A9A" w:rsidRDefault="00517A9A" w:rsidP="00517A9A">
      <w:pPr>
        <w:pStyle w:val="Vnbnnidung0"/>
        <w:tabs>
          <w:tab w:val="left" w:pos="1292"/>
        </w:tabs>
        <w:spacing w:after="120"/>
        <w:ind w:firstLine="284"/>
        <w:rPr>
          <w:rFonts w:ascii="Arial" w:hAnsi="Arial" w:cs="Arial"/>
          <w:sz w:val="20"/>
          <w:szCs w:val="20"/>
        </w:rPr>
      </w:pPr>
      <w:bookmarkStart w:id="4" w:name="bookmark4"/>
      <w:bookmarkEnd w:id="4"/>
      <w:r>
        <w:rPr>
          <w:rFonts w:ascii="Arial" w:hAnsi="Arial" w:cs="Arial"/>
          <w:sz w:val="20"/>
          <w:szCs w:val="20"/>
          <w:lang w:val="en-US"/>
        </w:rPr>
        <w:t xml:space="preserve">c) </w:t>
      </w:r>
      <w:r w:rsidR="009A5AC4" w:rsidRPr="00517A9A">
        <w:rPr>
          <w:rFonts w:ascii="Arial" w:hAnsi="Arial" w:cs="Arial"/>
          <w:sz w:val="20"/>
          <w:szCs w:val="20"/>
        </w:rPr>
        <w:t>Hàng hóa luân chuyển trong nội bộ của một DNCX, luân chuyển giữa các DNCX trong</w:t>
      </w:r>
      <w:r w:rsidR="009A5AC4" w:rsidRPr="00517A9A">
        <w:rPr>
          <w:rFonts w:ascii="Arial" w:hAnsi="Arial" w:cs="Arial"/>
          <w:sz w:val="20"/>
          <w:szCs w:val="20"/>
        </w:rPr>
        <w:t xml:space="preserve"> cùng một khu chế xuất;</w:t>
      </w:r>
    </w:p>
    <w:p w:rsidR="003714AD" w:rsidRPr="00517A9A" w:rsidRDefault="00517A9A" w:rsidP="00517A9A">
      <w:pPr>
        <w:pStyle w:val="Vnbnnidung0"/>
        <w:tabs>
          <w:tab w:val="left" w:pos="1263"/>
        </w:tabs>
        <w:spacing w:after="120"/>
        <w:ind w:firstLine="284"/>
        <w:rPr>
          <w:rFonts w:ascii="Arial" w:hAnsi="Arial" w:cs="Arial"/>
          <w:sz w:val="20"/>
          <w:szCs w:val="20"/>
        </w:rPr>
      </w:pPr>
      <w:bookmarkStart w:id="5" w:name="bookmark5"/>
      <w:bookmarkEnd w:id="5"/>
      <w:r>
        <w:rPr>
          <w:rFonts w:ascii="Arial" w:hAnsi="Arial" w:cs="Arial"/>
          <w:sz w:val="20"/>
          <w:szCs w:val="20"/>
          <w:lang w:val="en-US"/>
        </w:rPr>
        <w:t xml:space="preserve">d) </w:t>
      </w:r>
      <w:r w:rsidR="009A5AC4" w:rsidRPr="00517A9A">
        <w:rPr>
          <w:rFonts w:ascii="Arial" w:hAnsi="Arial" w:cs="Arial"/>
          <w:sz w:val="20"/>
          <w:szCs w:val="20"/>
        </w:rPr>
        <w:t>Hàng hóa của các DNCX thuộc một tập đoàn hay hệ thống công ty tại Việt Nam, có hạch toán phụ thuộc;</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đ) Hàng hóa đưa vào, đưa ra DNCX</w:t>
      </w:r>
      <w:r w:rsidR="00517A9A">
        <w:rPr>
          <w:rFonts w:ascii="Arial" w:hAnsi="Arial" w:cs="Arial"/>
          <w:sz w:val="20"/>
          <w:szCs w:val="20"/>
          <w:lang w:val="en-US"/>
        </w:rPr>
        <w:t xml:space="preserve"> </w:t>
      </w:r>
      <w:r w:rsidRPr="00517A9A">
        <w:rPr>
          <w:rFonts w:ascii="Arial" w:hAnsi="Arial" w:cs="Arial"/>
          <w:sz w:val="20"/>
          <w:szCs w:val="20"/>
        </w:rPr>
        <w:t>để bảo hành, sửa chữa hoặc thực hiện một số công đoạn trong hoạt động sản xuất như: kiểm tra, phân l</w:t>
      </w:r>
      <w:r w:rsidRPr="00517A9A">
        <w:rPr>
          <w:rFonts w:ascii="Arial" w:hAnsi="Arial" w:cs="Arial"/>
          <w:sz w:val="20"/>
          <w:szCs w:val="20"/>
        </w:rPr>
        <w:t>oại, đóng gói, đóng gói lại.</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Trường hợp không làm thủ tục hải quan, DNCX lập và lưu trữ chứng từ, sổ chi tiết việc theo dõi hàng hóa đưa vào, đưa ra theo các quy định của Bộ Tài chính về mua bán hàng hóa, chế độ kế toán, kiểm toán, trong đó xác định rõ mục</w:t>
      </w:r>
      <w:r w:rsidRPr="00517A9A">
        <w:rPr>
          <w:rFonts w:ascii="Arial" w:hAnsi="Arial" w:cs="Arial"/>
          <w:sz w:val="20"/>
          <w:szCs w:val="20"/>
        </w:rPr>
        <w:t xml:space="preserve"> đích, nguồn hàng hóa.</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 xml:space="preserve">2. ... </w:t>
      </w:r>
      <w:r w:rsidRPr="00517A9A">
        <w:rPr>
          <w:rFonts w:ascii="Arial" w:hAnsi="Arial" w:cs="Arial"/>
          <w:sz w:val="20"/>
          <w:szCs w:val="20"/>
          <w:u w:val="single"/>
        </w:rPr>
        <w:t>Hàng hóa DNCX</w:t>
      </w:r>
      <w:r w:rsidR="00517A9A">
        <w:rPr>
          <w:rFonts w:ascii="Arial" w:hAnsi="Arial" w:cs="Arial"/>
          <w:sz w:val="20"/>
          <w:szCs w:val="20"/>
          <w:u w:val="single"/>
          <w:lang w:val="en-US"/>
        </w:rPr>
        <w:t xml:space="preserve"> </w:t>
      </w:r>
      <w:bookmarkStart w:id="6" w:name="_GoBack"/>
      <w:bookmarkEnd w:id="6"/>
      <w:r w:rsidRPr="00517A9A">
        <w:rPr>
          <w:rFonts w:ascii="Arial" w:hAnsi="Arial" w:cs="Arial"/>
          <w:sz w:val="20"/>
          <w:szCs w:val="20"/>
          <w:u w:val="single"/>
        </w:rPr>
        <w:t>mua từ nội địa và đã nộp đầy đủ các loại thuế theo quy định như doanh nghiệp không hưởng chế độ, chính sách áp dụng đối với doanh nghiệp chế xuất thì hoạt động mua bán này không phải làm thủ tục hải quan. Trường h</w:t>
      </w:r>
      <w:r w:rsidRPr="00517A9A">
        <w:rPr>
          <w:rFonts w:ascii="Arial" w:hAnsi="Arial" w:cs="Arial"/>
          <w:sz w:val="20"/>
          <w:szCs w:val="20"/>
          <w:u w:val="single"/>
        </w:rPr>
        <w:t>ợp DNCX mua từ nội địa các loại hàng hóa có thuế suất thuế xuất khẩu thì phải làm thủ tục hải quan trừ trường hợp hàng hóa này được sử dụng làm nguyên liệu, vật tư tiêu hao trong quá trình sản xuất của DNCX</w:t>
      </w:r>
      <w:r w:rsidRPr="00517A9A">
        <w:rPr>
          <w:rFonts w:ascii="Arial" w:hAnsi="Arial" w:cs="Arial"/>
          <w:sz w:val="20"/>
          <w:szCs w:val="20"/>
        </w:rPr>
        <w:t xml:space="preserve"> (Ví dụ: than đá sử dụng trong quá trình đốt lò ph</w:t>
      </w:r>
      <w:r w:rsidRPr="00517A9A">
        <w:rPr>
          <w:rFonts w:ascii="Arial" w:hAnsi="Arial" w:cs="Arial"/>
          <w:sz w:val="20"/>
          <w:szCs w:val="20"/>
        </w:rPr>
        <w:t>ục vụ sản xuất của DNCX).”</w:t>
      </w:r>
    </w:p>
    <w:p w:rsidR="003714AD" w:rsidRPr="00517A9A" w:rsidRDefault="00517A9A" w:rsidP="00517A9A">
      <w:pPr>
        <w:pStyle w:val="Vnbnnidung0"/>
        <w:tabs>
          <w:tab w:val="left" w:pos="982"/>
        </w:tabs>
        <w:spacing w:after="120"/>
        <w:ind w:firstLine="284"/>
        <w:rPr>
          <w:rFonts w:ascii="Arial" w:hAnsi="Arial" w:cs="Arial"/>
          <w:sz w:val="20"/>
          <w:szCs w:val="20"/>
        </w:rPr>
      </w:pPr>
      <w:bookmarkStart w:id="7" w:name="bookmark6"/>
      <w:bookmarkEnd w:id="7"/>
      <w:r>
        <w:rPr>
          <w:rFonts w:ascii="Arial" w:hAnsi="Arial" w:cs="Arial"/>
          <w:i w:val="0"/>
          <w:iCs w:val="0"/>
          <w:sz w:val="20"/>
          <w:szCs w:val="20"/>
          <w:lang w:val="en-US"/>
        </w:rPr>
        <w:t xml:space="preserve">- </w:t>
      </w:r>
      <w:r w:rsidR="009A5AC4" w:rsidRPr="00517A9A">
        <w:rPr>
          <w:rFonts w:ascii="Arial" w:hAnsi="Arial" w:cs="Arial"/>
          <w:i w:val="0"/>
          <w:iCs w:val="0"/>
          <w:sz w:val="20"/>
          <w:szCs w:val="20"/>
        </w:rPr>
        <w:t>Tại Điều 4 Thông tư số 96/2015/TT-BTC ngày 22/6/2015 của Bộ Tài chính (sửa đổi, bổ sung Điều 6 Thông tư số 78/2014/TT-BTC) quy định các khoản chi được trừ và không được trừ khi xác định thu nhập chịu thuế:</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 xml:space="preserve">“Điều 6. Các khoản chi </w:t>
      </w:r>
      <w:r w:rsidRPr="00517A9A">
        <w:rPr>
          <w:rFonts w:ascii="Arial" w:hAnsi="Arial" w:cs="Arial"/>
          <w:sz w:val="20"/>
          <w:szCs w:val="20"/>
        </w:rPr>
        <w:t>được trừ và không được trừ khi xác định thu nhập chịu thuế.</w:t>
      </w:r>
    </w:p>
    <w:p w:rsidR="003714AD" w:rsidRPr="00517A9A" w:rsidRDefault="00517A9A" w:rsidP="00517A9A">
      <w:pPr>
        <w:pStyle w:val="Vnbnnidung0"/>
        <w:tabs>
          <w:tab w:val="left" w:pos="1088"/>
        </w:tabs>
        <w:spacing w:after="120"/>
        <w:ind w:firstLine="284"/>
        <w:rPr>
          <w:rFonts w:ascii="Arial" w:hAnsi="Arial" w:cs="Arial"/>
          <w:sz w:val="20"/>
          <w:szCs w:val="20"/>
        </w:rPr>
      </w:pPr>
      <w:bookmarkStart w:id="8" w:name="bookmark7"/>
      <w:bookmarkEnd w:id="8"/>
      <w:r>
        <w:rPr>
          <w:rFonts w:ascii="Arial" w:hAnsi="Arial" w:cs="Arial"/>
          <w:sz w:val="20"/>
          <w:szCs w:val="20"/>
          <w:lang w:val="en-US"/>
        </w:rPr>
        <w:t xml:space="preserve">1. </w:t>
      </w:r>
      <w:r w:rsidR="009A5AC4" w:rsidRPr="00517A9A">
        <w:rPr>
          <w:rFonts w:ascii="Arial" w:hAnsi="Arial" w:cs="Arial"/>
          <w:sz w:val="20"/>
          <w:szCs w:val="20"/>
        </w:rPr>
        <w:t>Trừ các khoản chi không được trừ nêu tại Khoản 2 Điều này, doanh nghiệp được trừ mọi khoản chi nếu đáp ứng đủ các điều kiện sau:</w:t>
      </w:r>
    </w:p>
    <w:p w:rsidR="003714AD" w:rsidRPr="00517A9A" w:rsidRDefault="00517A9A" w:rsidP="00517A9A">
      <w:pPr>
        <w:pStyle w:val="Vnbnnidung0"/>
        <w:tabs>
          <w:tab w:val="left" w:pos="1107"/>
        </w:tabs>
        <w:spacing w:after="120"/>
        <w:ind w:firstLine="284"/>
        <w:rPr>
          <w:rFonts w:ascii="Arial" w:hAnsi="Arial" w:cs="Arial"/>
          <w:sz w:val="20"/>
          <w:szCs w:val="20"/>
        </w:rPr>
      </w:pPr>
      <w:bookmarkStart w:id="9" w:name="bookmark8"/>
      <w:bookmarkEnd w:id="9"/>
      <w:r>
        <w:rPr>
          <w:rFonts w:ascii="Arial" w:hAnsi="Arial" w:cs="Arial"/>
          <w:sz w:val="20"/>
          <w:szCs w:val="20"/>
          <w:lang w:val="en-US"/>
        </w:rPr>
        <w:t xml:space="preserve">a) </w:t>
      </w:r>
      <w:r w:rsidR="009A5AC4" w:rsidRPr="00517A9A">
        <w:rPr>
          <w:rFonts w:ascii="Arial" w:hAnsi="Arial" w:cs="Arial"/>
          <w:sz w:val="20"/>
          <w:szCs w:val="20"/>
        </w:rPr>
        <w:t xml:space="preserve">Khoản chi thực tế phát sinh liên quan đến hoạt động sản xuất, kinh </w:t>
      </w:r>
      <w:r w:rsidR="009A5AC4" w:rsidRPr="00517A9A">
        <w:rPr>
          <w:rFonts w:ascii="Arial" w:hAnsi="Arial" w:cs="Arial"/>
          <w:sz w:val="20"/>
          <w:szCs w:val="20"/>
        </w:rPr>
        <w:t>doanh của doanh nghiệp.</w:t>
      </w:r>
    </w:p>
    <w:p w:rsidR="003714AD" w:rsidRPr="00517A9A" w:rsidRDefault="00517A9A" w:rsidP="00517A9A">
      <w:pPr>
        <w:pStyle w:val="Vnbnnidung0"/>
        <w:tabs>
          <w:tab w:val="left" w:pos="1112"/>
        </w:tabs>
        <w:spacing w:after="120"/>
        <w:ind w:firstLine="284"/>
        <w:rPr>
          <w:rFonts w:ascii="Arial" w:hAnsi="Arial" w:cs="Arial"/>
          <w:sz w:val="20"/>
          <w:szCs w:val="20"/>
        </w:rPr>
      </w:pPr>
      <w:bookmarkStart w:id="10" w:name="bookmark9"/>
      <w:bookmarkEnd w:id="10"/>
      <w:r>
        <w:rPr>
          <w:rFonts w:ascii="Arial" w:hAnsi="Arial" w:cs="Arial"/>
          <w:sz w:val="20"/>
          <w:szCs w:val="20"/>
          <w:lang w:val="en-US"/>
        </w:rPr>
        <w:t xml:space="preserve">b) </w:t>
      </w:r>
      <w:r w:rsidR="009A5AC4" w:rsidRPr="00517A9A">
        <w:rPr>
          <w:rFonts w:ascii="Arial" w:hAnsi="Arial" w:cs="Arial"/>
          <w:sz w:val="20"/>
          <w:szCs w:val="20"/>
        </w:rPr>
        <w:t>Khoản chi có đủ hóa đơn, chứng từ hợp pháp theo quy định của pháp luật.</w:t>
      </w:r>
    </w:p>
    <w:p w:rsidR="003714AD" w:rsidRPr="00517A9A" w:rsidRDefault="00517A9A" w:rsidP="00517A9A">
      <w:pPr>
        <w:pStyle w:val="Vnbnnidung0"/>
        <w:tabs>
          <w:tab w:val="left" w:pos="1117"/>
        </w:tabs>
        <w:spacing w:after="120"/>
        <w:ind w:firstLine="284"/>
        <w:rPr>
          <w:rFonts w:ascii="Arial" w:hAnsi="Arial" w:cs="Arial"/>
          <w:sz w:val="20"/>
          <w:szCs w:val="20"/>
        </w:rPr>
      </w:pPr>
      <w:bookmarkStart w:id="11" w:name="bookmark10"/>
      <w:bookmarkEnd w:id="11"/>
      <w:r>
        <w:rPr>
          <w:rFonts w:ascii="Arial" w:hAnsi="Arial" w:cs="Arial"/>
          <w:sz w:val="20"/>
          <w:szCs w:val="20"/>
          <w:lang w:val="en-US"/>
        </w:rPr>
        <w:t xml:space="preserve">c) </w:t>
      </w:r>
      <w:r w:rsidR="009A5AC4" w:rsidRPr="00517A9A">
        <w:rPr>
          <w:rFonts w:ascii="Arial" w:hAnsi="Arial" w:cs="Arial"/>
          <w:sz w:val="20"/>
          <w:szCs w:val="20"/>
        </w:rPr>
        <w:t>Khoản chi nếu có hóa đơn mua hàng hóa, dịch vụ từng lần có giá trị từ 20 triệu đồng trở lên (giá đã bao gồm thuế GTGT) khi thanh toán phải có chứng từ thanh toá</w:t>
      </w:r>
      <w:r w:rsidR="009A5AC4" w:rsidRPr="00517A9A">
        <w:rPr>
          <w:rFonts w:ascii="Arial" w:hAnsi="Arial" w:cs="Arial"/>
          <w:sz w:val="20"/>
          <w:szCs w:val="20"/>
        </w:rPr>
        <w:t>n không dùng tiền mặt...</w:t>
      </w:r>
    </w:p>
    <w:p w:rsidR="003714AD" w:rsidRPr="00517A9A" w:rsidRDefault="00517A9A" w:rsidP="00517A9A">
      <w:pPr>
        <w:pStyle w:val="Vnbnnidung0"/>
        <w:tabs>
          <w:tab w:val="left" w:pos="1108"/>
        </w:tabs>
        <w:spacing w:after="120"/>
        <w:ind w:firstLine="284"/>
        <w:rPr>
          <w:rFonts w:ascii="Arial" w:hAnsi="Arial" w:cs="Arial"/>
          <w:sz w:val="20"/>
          <w:szCs w:val="20"/>
        </w:rPr>
      </w:pPr>
      <w:bookmarkStart w:id="12" w:name="bookmark11"/>
      <w:bookmarkEnd w:id="12"/>
      <w:r>
        <w:rPr>
          <w:rFonts w:ascii="Arial" w:hAnsi="Arial" w:cs="Arial"/>
          <w:sz w:val="20"/>
          <w:szCs w:val="20"/>
          <w:lang w:val="en-US"/>
        </w:rPr>
        <w:lastRenderedPageBreak/>
        <w:t xml:space="preserve">2. </w:t>
      </w:r>
      <w:r w:rsidR="009A5AC4" w:rsidRPr="00517A9A">
        <w:rPr>
          <w:rFonts w:ascii="Arial" w:hAnsi="Arial" w:cs="Arial"/>
          <w:sz w:val="20"/>
          <w:szCs w:val="20"/>
        </w:rPr>
        <w:t>Các khoản chi không được trừ khi xác định thu nhập chịu thuế bao gồm:</w:t>
      </w:r>
    </w:p>
    <w:p w:rsidR="003714AD"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2.1. Khoản chi không đáp ứng đủ các điều kiện quy định tại Khoản 1 Điều này</w:t>
      </w:r>
    </w:p>
    <w:p w:rsidR="00517A9A" w:rsidRPr="00517A9A" w:rsidRDefault="00517A9A" w:rsidP="00517A9A">
      <w:pPr>
        <w:pStyle w:val="Vnbnnidung0"/>
        <w:spacing w:after="120"/>
        <w:ind w:firstLine="284"/>
        <w:rPr>
          <w:rFonts w:ascii="Arial" w:hAnsi="Arial" w:cs="Arial"/>
          <w:sz w:val="20"/>
          <w:szCs w:val="20"/>
          <w:lang w:val="en-US"/>
        </w:rPr>
      </w:pPr>
      <w:r>
        <w:rPr>
          <w:rFonts w:ascii="Arial" w:hAnsi="Arial" w:cs="Arial"/>
          <w:sz w:val="20"/>
          <w:szCs w:val="20"/>
          <w:lang w:val="en-US"/>
        </w:rPr>
        <w:t>…</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sz w:val="20"/>
          <w:szCs w:val="20"/>
        </w:rPr>
        <w:t>2.37. Thuế giá trị gia tăng đầu vào đã được khấu trừ hoặc hoàn thuế; ...”</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i w:val="0"/>
          <w:iCs w:val="0"/>
          <w:sz w:val="20"/>
          <w:szCs w:val="20"/>
        </w:rPr>
        <w:t xml:space="preserve">Căn cứ các </w:t>
      </w:r>
      <w:r w:rsidRPr="00517A9A">
        <w:rPr>
          <w:rFonts w:ascii="Arial" w:hAnsi="Arial" w:cs="Arial"/>
          <w:i w:val="0"/>
          <w:iCs w:val="0"/>
          <w:sz w:val="20"/>
          <w:szCs w:val="20"/>
        </w:rPr>
        <w:t>quy định nêu trên:</w:t>
      </w:r>
    </w:p>
    <w:p w:rsidR="003714AD" w:rsidRPr="00517A9A" w:rsidRDefault="00517A9A" w:rsidP="00517A9A">
      <w:pPr>
        <w:pStyle w:val="Vnbnnidung0"/>
        <w:tabs>
          <w:tab w:val="left" w:pos="1002"/>
        </w:tabs>
        <w:spacing w:after="120"/>
        <w:ind w:firstLine="284"/>
        <w:rPr>
          <w:rFonts w:ascii="Arial" w:hAnsi="Arial" w:cs="Arial"/>
          <w:sz w:val="20"/>
          <w:szCs w:val="20"/>
        </w:rPr>
      </w:pPr>
      <w:bookmarkStart w:id="13" w:name="bookmark12"/>
      <w:bookmarkEnd w:id="13"/>
      <w:r>
        <w:rPr>
          <w:rFonts w:ascii="Arial" w:hAnsi="Arial" w:cs="Arial"/>
          <w:i w:val="0"/>
          <w:iCs w:val="0"/>
          <w:sz w:val="20"/>
          <w:szCs w:val="20"/>
          <w:lang w:val="en-US"/>
        </w:rPr>
        <w:t xml:space="preserve">- </w:t>
      </w:r>
      <w:r w:rsidR="009A5AC4" w:rsidRPr="00517A9A">
        <w:rPr>
          <w:rFonts w:ascii="Arial" w:hAnsi="Arial" w:cs="Arial"/>
          <w:i w:val="0"/>
          <w:iCs w:val="0"/>
          <w:sz w:val="20"/>
          <w:szCs w:val="20"/>
        </w:rPr>
        <w:t xml:space="preserve">Trường hợp Công ty là doanh nghiệp chế xuất không phải khai nộp thuế GTGT theo quy định thì thời điểm lập hóa đơn đối với bán hàng hóa xuất khẩu là thời điểm chuyển giao quyền sở hữu hoặc quyền sử dụng hàng hóa cho người mua, không phân </w:t>
      </w:r>
      <w:r w:rsidR="009A5AC4" w:rsidRPr="00517A9A">
        <w:rPr>
          <w:rFonts w:ascii="Arial" w:hAnsi="Arial" w:cs="Arial"/>
          <w:i w:val="0"/>
          <w:iCs w:val="0"/>
          <w:sz w:val="20"/>
          <w:szCs w:val="20"/>
        </w:rPr>
        <w:t>biệt đã thu được tiền hay chưa thu được tiền.</w:t>
      </w:r>
    </w:p>
    <w:p w:rsidR="003714AD" w:rsidRPr="00517A9A" w:rsidRDefault="00517A9A" w:rsidP="00517A9A">
      <w:pPr>
        <w:pStyle w:val="Vnbnnidung0"/>
        <w:tabs>
          <w:tab w:val="left" w:pos="992"/>
        </w:tabs>
        <w:spacing w:after="120"/>
        <w:ind w:firstLine="284"/>
        <w:rPr>
          <w:rFonts w:ascii="Arial" w:hAnsi="Arial" w:cs="Arial"/>
          <w:sz w:val="20"/>
          <w:szCs w:val="20"/>
        </w:rPr>
      </w:pPr>
      <w:bookmarkStart w:id="14" w:name="bookmark13"/>
      <w:bookmarkEnd w:id="14"/>
      <w:r>
        <w:rPr>
          <w:rFonts w:ascii="Arial" w:hAnsi="Arial" w:cs="Arial"/>
          <w:i w:val="0"/>
          <w:iCs w:val="0"/>
          <w:sz w:val="20"/>
          <w:szCs w:val="20"/>
          <w:lang w:val="en-US"/>
        </w:rPr>
        <w:t xml:space="preserve">- </w:t>
      </w:r>
      <w:r w:rsidR="009A5AC4" w:rsidRPr="00517A9A">
        <w:rPr>
          <w:rFonts w:ascii="Arial" w:hAnsi="Arial" w:cs="Arial"/>
          <w:i w:val="0"/>
          <w:iCs w:val="0"/>
          <w:sz w:val="20"/>
          <w:szCs w:val="20"/>
        </w:rPr>
        <w:t xml:space="preserve">Trường hợp doanh nghiệp chế xuất mua hàng hóa từ các doanh nghiệp nội địa và doanh nghiệp nội địa không làm thủ tục hải quan, doanh nghiệp nội địa xuất hóa đơn bán ra cho doanh nghiệp chế xuất với thuế suất </w:t>
      </w:r>
      <w:r w:rsidR="009A5AC4" w:rsidRPr="00517A9A">
        <w:rPr>
          <w:rFonts w:ascii="Arial" w:hAnsi="Arial" w:cs="Arial"/>
          <w:i w:val="0"/>
          <w:iCs w:val="0"/>
          <w:sz w:val="20"/>
          <w:szCs w:val="20"/>
        </w:rPr>
        <w:t>thuế giá trị gia tăng là 8% hoặc 10% thì:</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i w:val="0"/>
          <w:iCs w:val="0"/>
          <w:sz w:val="20"/>
          <w:szCs w:val="20"/>
        </w:rPr>
        <w:t xml:space="preserve">Đối với trường hợp hàng hóa, dịch vụ thuộc diện phải làm thủ tục hải quan theo quy định tại khoản 50 Điều 1 Thông tư số 39/2018/TT-BTC ngày 20/4/2018 của Bộ Tài chính: nếu khoản chi không có đủ hóa đơn, chứng từ </w:t>
      </w:r>
      <w:r w:rsidRPr="00517A9A">
        <w:rPr>
          <w:rFonts w:ascii="Arial" w:hAnsi="Arial" w:cs="Arial"/>
          <w:i w:val="0"/>
          <w:iCs w:val="0"/>
          <w:sz w:val="20"/>
          <w:szCs w:val="20"/>
        </w:rPr>
        <w:t>theo quy định của pháp luật theo quy định tại Điều 4 Thông tư 96/2015/TT-BTC thì không được tính là chi phí hợp lý khi tính thuế TNDN.</w:t>
      </w:r>
    </w:p>
    <w:p w:rsidR="003714AD" w:rsidRPr="00517A9A" w:rsidRDefault="009A5AC4" w:rsidP="00517A9A">
      <w:pPr>
        <w:pStyle w:val="Vnbnnidung0"/>
        <w:spacing w:after="120"/>
        <w:ind w:firstLine="284"/>
        <w:rPr>
          <w:rFonts w:ascii="Arial" w:hAnsi="Arial" w:cs="Arial"/>
          <w:sz w:val="20"/>
          <w:szCs w:val="20"/>
        </w:rPr>
      </w:pPr>
      <w:r w:rsidRPr="00517A9A">
        <w:rPr>
          <w:rFonts w:ascii="Arial" w:hAnsi="Arial" w:cs="Arial"/>
          <w:i w:val="0"/>
          <w:iCs w:val="0"/>
          <w:sz w:val="20"/>
          <w:szCs w:val="20"/>
        </w:rPr>
        <w:t xml:space="preserve">Đối với trường hợp hàng hóa, dịch vụ thuộc diện được lựa chọn thực hiện hoặc không thực hiện thủ tục hải quan hoặc thuộc </w:t>
      </w:r>
      <w:r w:rsidRPr="00517A9A">
        <w:rPr>
          <w:rFonts w:ascii="Arial" w:hAnsi="Arial" w:cs="Arial"/>
          <w:i w:val="0"/>
          <w:iCs w:val="0"/>
          <w:sz w:val="20"/>
          <w:szCs w:val="20"/>
        </w:rPr>
        <w:t>diện không phải làm thủ tục hải quan theo quy định tại khoản 50 Điều 1 Thông tư số 39/2018/TT-BTC ngày 20/4/2018 của Bộ Tài chính: nếu khoản chi (bao gồm tiền thuế GTGT) đáp ứng</w:t>
      </w:r>
      <w:r w:rsidR="00517A9A">
        <w:rPr>
          <w:rFonts w:ascii="Arial" w:hAnsi="Arial" w:cs="Arial"/>
          <w:i w:val="0"/>
          <w:iCs w:val="0"/>
          <w:sz w:val="20"/>
          <w:szCs w:val="20"/>
          <w:lang w:val="en-US"/>
        </w:rPr>
        <w:t xml:space="preserve"> </w:t>
      </w:r>
      <w:r w:rsidRPr="00517A9A">
        <w:rPr>
          <w:rFonts w:ascii="Arial" w:hAnsi="Arial" w:cs="Arial"/>
          <w:i w:val="0"/>
          <w:iCs w:val="0"/>
          <w:sz w:val="20"/>
          <w:szCs w:val="20"/>
        </w:rPr>
        <w:t>điều kiện quy định tại Điều 4 Thông tư 96/2015/TT-BTC thì được tính là chi phí</w:t>
      </w:r>
      <w:r w:rsidRPr="00517A9A">
        <w:rPr>
          <w:rFonts w:ascii="Arial" w:hAnsi="Arial" w:cs="Arial"/>
          <w:i w:val="0"/>
          <w:iCs w:val="0"/>
          <w:sz w:val="20"/>
          <w:szCs w:val="20"/>
        </w:rPr>
        <w:t xml:space="preserve"> hợp lý khi tính thuế TNDN.</w:t>
      </w:r>
    </w:p>
    <w:p w:rsidR="003714AD" w:rsidRDefault="009A5AC4" w:rsidP="00517A9A">
      <w:pPr>
        <w:pStyle w:val="Vnbnnidung0"/>
        <w:spacing w:after="120"/>
        <w:ind w:firstLine="284"/>
        <w:rPr>
          <w:rFonts w:ascii="Arial" w:hAnsi="Arial" w:cs="Arial"/>
          <w:i w:val="0"/>
          <w:iCs w:val="0"/>
          <w:sz w:val="20"/>
          <w:szCs w:val="20"/>
        </w:rPr>
      </w:pPr>
      <w:r w:rsidRPr="00517A9A">
        <w:rPr>
          <w:rFonts w:ascii="Arial" w:hAnsi="Arial" w:cs="Arial"/>
          <w:i w:val="0"/>
          <w:iCs w:val="0"/>
          <w:sz w:val="20"/>
          <w:szCs w:val="20"/>
        </w:rPr>
        <w:t>Đề nghị Công ty căn cứ vào quy định của pháp luật và tình hình thực tế phát sinh để th</w:t>
      </w:r>
      <w:r w:rsidR="00517A9A">
        <w:rPr>
          <w:rFonts w:ascii="Arial" w:hAnsi="Arial" w:cs="Arial"/>
          <w:i w:val="0"/>
          <w:iCs w:val="0"/>
          <w:sz w:val="20"/>
          <w:szCs w:val="20"/>
        </w:rPr>
        <w:t>ực hiện theo đúng quy định./.</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517A9A" w:rsidRPr="001443C0" w:rsidTr="00987129">
        <w:trPr>
          <w:trHeight w:val="2005"/>
        </w:trPr>
        <w:tc>
          <w:tcPr>
            <w:tcW w:w="5843" w:type="dxa"/>
            <w:shd w:val="clear" w:color="auto" w:fill="auto"/>
            <w:hideMark/>
          </w:tcPr>
          <w:p w:rsidR="00517A9A" w:rsidRPr="00BA1E8C" w:rsidRDefault="00517A9A" w:rsidP="00987129">
            <w:pPr>
              <w:pStyle w:val="Vnbnnidung0"/>
              <w:ind w:firstLine="0"/>
              <w:rPr>
                <w:rFonts w:ascii="Arial" w:hAnsi="Arial" w:cs="Arial"/>
                <w:b/>
                <w:sz w:val="20"/>
                <w:szCs w:val="20"/>
              </w:rPr>
            </w:pPr>
            <w:r>
              <w:rPr>
                <w:rFonts w:ascii="Arial" w:hAnsi="Arial" w:cs="Arial"/>
                <w:b/>
                <w:i w:val="0"/>
                <w:sz w:val="20"/>
                <w:szCs w:val="20"/>
              </w:rPr>
              <w:t>Nơi nhận</w:t>
            </w:r>
          </w:p>
          <w:p w:rsidR="00517A9A" w:rsidRPr="00517A9A" w:rsidRDefault="00517A9A" w:rsidP="00517A9A">
            <w:pPr>
              <w:pStyle w:val="Vnbnnidung20"/>
              <w:tabs>
                <w:tab w:val="left" w:pos="258"/>
              </w:tabs>
              <w:spacing w:after="0"/>
              <w:rPr>
                <w:rFonts w:ascii="Arial" w:hAnsi="Arial" w:cs="Arial"/>
                <w:sz w:val="20"/>
                <w:szCs w:val="20"/>
              </w:rPr>
            </w:pPr>
            <w:r>
              <w:rPr>
                <w:rFonts w:ascii="Arial" w:hAnsi="Arial" w:cs="Arial"/>
                <w:sz w:val="20"/>
                <w:szCs w:val="20"/>
                <w:lang w:val="en-US"/>
              </w:rPr>
              <w:t xml:space="preserve">- </w:t>
            </w:r>
            <w:r w:rsidRPr="00517A9A">
              <w:rPr>
                <w:rFonts w:ascii="Arial" w:hAnsi="Arial" w:cs="Arial"/>
                <w:sz w:val="20"/>
                <w:szCs w:val="20"/>
              </w:rPr>
              <w:t>Như trên;</w:t>
            </w:r>
          </w:p>
          <w:p w:rsidR="00517A9A" w:rsidRPr="00517A9A" w:rsidRDefault="00517A9A" w:rsidP="00517A9A">
            <w:pPr>
              <w:pStyle w:val="Vnbnnidung20"/>
              <w:tabs>
                <w:tab w:val="left" w:pos="258"/>
              </w:tabs>
              <w:spacing w:after="0"/>
              <w:rPr>
                <w:rFonts w:ascii="Arial" w:hAnsi="Arial" w:cs="Arial"/>
                <w:sz w:val="20"/>
                <w:szCs w:val="20"/>
              </w:rPr>
            </w:pPr>
            <w:bookmarkStart w:id="15" w:name="bookmark15"/>
            <w:bookmarkEnd w:id="15"/>
            <w:r>
              <w:rPr>
                <w:rFonts w:ascii="Arial" w:hAnsi="Arial" w:cs="Arial"/>
                <w:sz w:val="20"/>
                <w:szCs w:val="20"/>
                <w:lang w:val="en-US"/>
              </w:rPr>
              <w:t xml:space="preserve">- </w:t>
            </w:r>
            <w:r w:rsidRPr="00517A9A">
              <w:rPr>
                <w:rFonts w:ascii="Arial" w:hAnsi="Arial" w:cs="Arial"/>
                <w:sz w:val="20"/>
                <w:szCs w:val="20"/>
              </w:rPr>
              <w:t>Phòng: TTKT1;</w:t>
            </w:r>
          </w:p>
          <w:p w:rsidR="00517A9A" w:rsidRPr="00517A9A" w:rsidRDefault="00517A9A" w:rsidP="00517A9A">
            <w:pPr>
              <w:pStyle w:val="Vnbnnidung20"/>
              <w:tabs>
                <w:tab w:val="left" w:pos="258"/>
              </w:tabs>
              <w:spacing w:after="0"/>
              <w:rPr>
                <w:rFonts w:ascii="Arial" w:hAnsi="Arial" w:cs="Arial"/>
                <w:sz w:val="20"/>
                <w:szCs w:val="20"/>
              </w:rPr>
            </w:pPr>
            <w:bookmarkStart w:id="16" w:name="bookmark16"/>
            <w:bookmarkEnd w:id="16"/>
            <w:r>
              <w:rPr>
                <w:rFonts w:ascii="Arial" w:hAnsi="Arial" w:cs="Arial"/>
                <w:sz w:val="20"/>
                <w:szCs w:val="20"/>
                <w:lang w:val="en-US"/>
              </w:rPr>
              <w:t xml:space="preserve">- </w:t>
            </w:r>
            <w:r w:rsidRPr="00517A9A">
              <w:rPr>
                <w:rFonts w:ascii="Arial" w:hAnsi="Arial" w:cs="Arial"/>
                <w:sz w:val="20"/>
                <w:szCs w:val="20"/>
              </w:rPr>
              <w:t>Website Cục Thuế;</w:t>
            </w:r>
          </w:p>
          <w:p w:rsidR="00517A9A" w:rsidRPr="00517A9A" w:rsidRDefault="00517A9A" w:rsidP="00517A9A">
            <w:pPr>
              <w:pStyle w:val="Vnbnnidung20"/>
              <w:tabs>
                <w:tab w:val="left" w:pos="258"/>
              </w:tabs>
              <w:spacing w:after="200"/>
              <w:rPr>
                <w:rFonts w:ascii="Arial" w:hAnsi="Arial" w:cs="Arial"/>
                <w:sz w:val="20"/>
                <w:szCs w:val="20"/>
              </w:rPr>
            </w:pPr>
            <w:bookmarkStart w:id="17" w:name="bookmark17"/>
            <w:bookmarkEnd w:id="17"/>
            <w:r>
              <w:rPr>
                <w:rFonts w:ascii="Arial" w:hAnsi="Arial" w:cs="Arial"/>
                <w:sz w:val="20"/>
                <w:szCs w:val="20"/>
                <w:lang w:val="en-US"/>
              </w:rPr>
              <w:t xml:space="preserve">- </w:t>
            </w:r>
            <w:r w:rsidRPr="00517A9A">
              <w:rPr>
                <w:rFonts w:ascii="Arial" w:hAnsi="Arial" w:cs="Arial"/>
                <w:sz w:val="20"/>
                <w:szCs w:val="20"/>
              </w:rPr>
              <w:t>Lưu: VT, TTHT.</w:t>
            </w:r>
          </w:p>
          <w:p w:rsidR="00517A9A" w:rsidRPr="001443C0" w:rsidRDefault="00517A9A" w:rsidP="00987129">
            <w:pPr>
              <w:pStyle w:val="Vnbnnidung20"/>
              <w:tabs>
                <w:tab w:val="left" w:pos="258"/>
              </w:tabs>
              <w:spacing w:after="180" w:line="230" w:lineRule="auto"/>
              <w:rPr>
                <w:rFonts w:ascii="Arial" w:hAnsi="Arial" w:cs="Arial"/>
                <w:sz w:val="20"/>
                <w:szCs w:val="20"/>
              </w:rPr>
            </w:pPr>
          </w:p>
        </w:tc>
        <w:tc>
          <w:tcPr>
            <w:tcW w:w="4140" w:type="dxa"/>
            <w:shd w:val="clear" w:color="auto" w:fill="auto"/>
          </w:tcPr>
          <w:p w:rsidR="00517A9A" w:rsidRPr="0054008A" w:rsidRDefault="00517A9A" w:rsidP="00987129">
            <w:pPr>
              <w:pStyle w:val="Vnbnnidung0"/>
              <w:tabs>
                <w:tab w:val="left" w:pos="4030"/>
                <w:tab w:val="left" w:leader="dot" w:pos="4198"/>
              </w:tabs>
              <w:ind w:firstLine="0"/>
              <w:jc w:val="center"/>
              <w:rPr>
                <w:rFonts w:ascii="Arial" w:hAnsi="Arial" w:cs="Arial"/>
                <w:b/>
                <w:i w:val="0"/>
                <w:sz w:val="20"/>
                <w:szCs w:val="20"/>
              </w:rPr>
            </w:pPr>
            <w:r w:rsidRPr="0054008A">
              <w:rPr>
                <w:rFonts w:ascii="Arial" w:hAnsi="Arial" w:cs="Arial"/>
                <w:b/>
                <w:i w:val="0"/>
                <w:sz w:val="20"/>
                <w:szCs w:val="20"/>
                <w:lang w:val="en-US"/>
              </w:rPr>
              <w:t xml:space="preserve">KT. </w:t>
            </w:r>
            <w:r w:rsidRPr="0054008A">
              <w:rPr>
                <w:rFonts w:ascii="Arial" w:hAnsi="Arial" w:cs="Arial"/>
                <w:b/>
                <w:i w:val="0"/>
                <w:sz w:val="20"/>
                <w:szCs w:val="20"/>
              </w:rPr>
              <w:t>CỤC TRƯỞNG</w:t>
            </w:r>
          </w:p>
          <w:p w:rsidR="00517A9A" w:rsidRPr="0054008A" w:rsidRDefault="00517A9A" w:rsidP="00987129">
            <w:pPr>
              <w:pStyle w:val="Vnbnnidung0"/>
              <w:tabs>
                <w:tab w:val="left" w:pos="4030"/>
                <w:tab w:val="left" w:leader="dot" w:pos="4198"/>
              </w:tabs>
              <w:ind w:firstLine="0"/>
              <w:jc w:val="center"/>
              <w:rPr>
                <w:rFonts w:ascii="Arial" w:hAnsi="Arial" w:cs="Arial"/>
                <w:b/>
                <w:i w:val="0"/>
                <w:sz w:val="20"/>
                <w:szCs w:val="20"/>
                <w:lang w:val="en-US"/>
              </w:rPr>
            </w:pPr>
            <w:r w:rsidRPr="0054008A">
              <w:rPr>
                <w:rFonts w:ascii="Arial" w:hAnsi="Arial" w:cs="Arial"/>
                <w:b/>
                <w:i w:val="0"/>
                <w:sz w:val="20"/>
                <w:szCs w:val="20"/>
                <w:lang w:val="en-US"/>
              </w:rPr>
              <w:t>PHÓ CỤC TRƯỞNG</w:t>
            </w:r>
          </w:p>
          <w:p w:rsidR="00517A9A" w:rsidRPr="0054008A" w:rsidRDefault="00517A9A" w:rsidP="00987129">
            <w:pPr>
              <w:pStyle w:val="Vnbnnidung0"/>
              <w:tabs>
                <w:tab w:val="left" w:pos="4030"/>
                <w:tab w:val="left" w:leader="dot" w:pos="4198"/>
              </w:tabs>
              <w:ind w:firstLine="0"/>
              <w:jc w:val="center"/>
              <w:rPr>
                <w:rFonts w:ascii="Arial" w:hAnsi="Arial" w:cs="Arial"/>
                <w:b/>
                <w:i w:val="0"/>
                <w:sz w:val="20"/>
                <w:szCs w:val="20"/>
                <w:lang w:val="en-US"/>
              </w:rPr>
            </w:pPr>
          </w:p>
          <w:p w:rsidR="00517A9A" w:rsidRPr="0054008A" w:rsidRDefault="00517A9A" w:rsidP="00987129">
            <w:pPr>
              <w:pStyle w:val="Vnbnnidung0"/>
              <w:tabs>
                <w:tab w:val="left" w:pos="4030"/>
                <w:tab w:val="left" w:leader="dot" w:pos="4198"/>
              </w:tabs>
              <w:ind w:firstLine="0"/>
              <w:jc w:val="center"/>
              <w:rPr>
                <w:rFonts w:ascii="Arial" w:hAnsi="Arial" w:cs="Arial"/>
                <w:b/>
                <w:i w:val="0"/>
                <w:sz w:val="20"/>
                <w:szCs w:val="20"/>
                <w:lang w:val="en-US"/>
              </w:rPr>
            </w:pPr>
          </w:p>
          <w:p w:rsidR="00517A9A" w:rsidRPr="0054008A" w:rsidRDefault="00517A9A" w:rsidP="00987129">
            <w:pPr>
              <w:pStyle w:val="Vnbnnidung0"/>
              <w:tabs>
                <w:tab w:val="left" w:pos="4030"/>
                <w:tab w:val="left" w:leader="dot" w:pos="4198"/>
              </w:tabs>
              <w:ind w:firstLine="0"/>
              <w:jc w:val="center"/>
              <w:rPr>
                <w:rFonts w:ascii="Arial" w:hAnsi="Arial" w:cs="Arial"/>
                <w:b/>
                <w:i w:val="0"/>
                <w:sz w:val="20"/>
                <w:szCs w:val="20"/>
                <w:lang w:val="en-US"/>
              </w:rPr>
            </w:pPr>
          </w:p>
          <w:p w:rsidR="00517A9A" w:rsidRPr="00CB58EB" w:rsidRDefault="00517A9A" w:rsidP="00987129">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Lương Đình Đường</w:t>
            </w:r>
          </w:p>
        </w:tc>
      </w:tr>
    </w:tbl>
    <w:p w:rsidR="003714AD" w:rsidRPr="00517A9A" w:rsidRDefault="003714AD" w:rsidP="00517A9A">
      <w:pPr>
        <w:pStyle w:val="Vnbnnidung20"/>
        <w:spacing w:after="0"/>
        <w:rPr>
          <w:rFonts w:ascii="Arial" w:hAnsi="Arial" w:cs="Arial"/>
          <w:sz w:val="20"/>
          <w:szCs w:val="20"/>
        </w:rPr>
      </w:pPr>
    </w:p>
    <w:sectPr w:rsidR="003714AD" w:rsidRPr="00517A9A">
      <w:headerReference w:type="default" r:id="rId8"/>
      <w:headerReference w:type="first" r:id="rId9"/>
      <w:pgSz w:w="11900" w:h="16840"/>
      <w:pgMar w:top="976" w:right="1055" w:bottom="1266" w:left="1552"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C4" w:rsidRDefault="009A5AC4">
      <w:r>
        <w:separator/>
      </w:r>
    </w:p>
  </w:endnote>
  <w:endnote w:type="continuationSeparator" w:id="0">
    <w:p w:rsidR="009A5AC4" w:rsidRDefault="009A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C4" w:rsidRDefault="009A5AC4"/>
  </w:footnote>
  <w:footnote w:type="continuationSeparator" w:id="0">
    <w:p w:rsidR="009A5AC4" w:rsidRDefault="009A5A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AD" w:rsidRDefault="009A5AC4">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3896360</wp:posOffset>
              </wp:positionH>
              <wp:positionV relativeFrom="page">
                <wp:posOffset>447040</wp:posOffset>
              </wp:positionV>
              <wp:extent cx="73025"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73025" cy="109855"/>
                      </a:xfrm>
                      <a:prstGeom prst="rect">
                        <a:avLst/>
                      </a:prstGeom>
                      <a:noFill/>
                    </wps:spPr>
                    <wps:txbx>
                      <w:txbxContent>
                        <w:p w:rsidR="003714AD" w:rsidRDefault="009A5AC4">
                          <w:pPr>
                            <w:pStyle w:val="utranghocchntrang20"/>
                            <w:rPr>
                              <w:sz w:val="26"/>
                              <w:szCs w:val="26"/>
                            </w:rPr>
                          </w:pPr>
                          <w:r>
                            <w:fldChar w:fldCharType="begin"/>
                          </w:r>
                          <w:r>
                            <w:instrText xml:space="preserve"> PAGE \* MERGEFORMAT </w:instrText>
                          </w:r>
                          <w:r>
                            <w:fldChar w:fldCharType="separate"/>
                          </w:r>
                          <w:r w:rsidR="00517A9A" w:rsidRPr="00517A9A">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06.8pt;margin-top:35.2pt;width:5.7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55kwEAACIDAAAOAAAAZHJzL2Uyb0RvYy54bWysUltLwzAUfhf8DyHvrt3EW1kniiiCqDD9&#10;AVmarIEmJ+TEtfv3nmTdFH0TX9Jz6/d95zK/HmzHNiqgAVfz6aTkTDkJjXHrmr+/3Z9ccoZRuEZ0&#10;4FTNtwr59eL4aN77Ss2gha5RgRGIw6r3NW9j9FVRoGyVFTgBrxwlNQQrIrlhXTRB9IRuu2JWludF&#10;D6HxAaRCpOjdLskXGV9rJeOL1qgi62pO2mJ+Q35X6S0Wc1Gtg/CtkaMM8QcVVhhHpAeoOxEF+wjm&#10;F5Q1MgCCjhMJtgCtjVS5B+pmWv7oZtkKr3IvNBz0hzHh/8HK581rYKah3Z1x5oSlHWVaRj4Np/dY&#10;Uc3SU1UcbmGgwn0cKZh6HnSw6UvdMMrTmLeH0aohMknBi9NyRgSSMtPy6vIsgxdf//qA8UGBZcmo&#10;eaDF5XmKzRNG0kGl+5JE5eDedF2KJ4E7IcmKw2oYVa+g2ZLonnZbc0fHx1n36Gh06Qz2Rtgbq9FI&#10;4OhvPiIRZN6EuoMayWgRWc54NGnT3/1c9XXai08AAAD//wMAUEsDBBQABgAIAAAAIQC2v1r+2wAA&#10;AAkBAAAPAAAAZHJzL2Rvd25yZXYueG1sTI/BTsMwDEDvSPxDZCRuLO2AtipNJzSJCzcGQuKWNV5T&#10;kThVk3Xt32NOcLT89Pzc7BbvxIxTHAIpyDcZCKQumIF6BR/vL3cViJg0Ge0CoYIVI+za66tG1yZc&#10;6A3nQ+oFSyjWWoFNaayljJ1Fr+MmjEi8O4XJ68Tj1Esz6QvLvZPbLCuk1wPxBatH3Fvsvg9nr6Bc&#10;PgOOEff4dZq7yQ5r5V5XpW5vlucnEAmX9AfDbz6nQ8tNx3AmE4VTUOT3BaMsyx5AMFBsH3MQRwVV&#10;WYJsG/n/g/YHAAD//wMAUEsBAi0AFAAGAAgAAAAhALaDOJL+AAAA4QEAABMAAAAAAAAAAAAAAAAA&#10;AAAAAFtDb250ZW50X1R5cGVzXS54bWxQSwECLQAUAAYACAAAACEAOP0h/9YAAACUAQAACwAAAAAA&#10;AAAAAAAAAAAvAQAAX3JlbHMvLnJlbHNQSwECLQAUAAYACAAAACEAt3UOeZMBAAAiAwAADgAAAAAA&#10;AAAAAAAAAAAuAgAAZHJzL2Uyb0RvYy54bWxQSwECLQAUAAYACAAAACEAtr9a/tsAAAAJAQAADwAA&#10;AAAAAAAAAAAAAADtAwAAZHJzL2Rvd25yZXYueG1sUEsFBgAAAAAEAAQA8wAAAPUEAAAAAA==&#10;" filled="f" stroked="f">
              <v:textbox style="mso-fit-shape-to-text:t" inset="0,0,0,0">
                <w:txbxContent>
                  <w:p w:rsidR="003714AD" w:rsidRDefault="009A5AC4">
                    <w:pPr>
                      <w:pStyle w:val="utranghocchntrang20"/>
                      <w:rPr>
                        <w:sz w:val="26"/>
                        <w:szCs w:val="26"/>
                      </w:rPr>
                    </w:pPr>
                    <w:r>
                      <w:fldChar w:fldCharType="begin"/>
                    </w:r>
                    <w:r>
                      <w:instrText xml:space="preserve"> PAGE \* MERGEFORMAT </w:instrText>
                    </w:r>
                    <w:r>
                      <w:fldChar w:fldCharType="separate"/>
                    </w:r>
                    <w:r w:rsidR="00517A9A" w:rsidRPr="00517A9A">
                      <w:rPr>
                        <w:noProof/>
                        <w:sz w:val="26"/>
                        <w:szCs w:val="26"/>
                      </w:rPr>
                      <w:t>2</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AD" w:rsidRDefault="003714AD">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873"/>
    <w:multiLevelType w:val="multilevel"/>
    <w:tmpl w:val="B89CBE3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302C8E"/>
    <w:multiLevelType w:val="multilevel"/>
    <w:tmpl w:val="E33CF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A4C15"/>
    <w:multiLevelType w:val="multilevel"/>
    <w:tmpl w:val="2A008B6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F2A5D"/>
    <w:multiLevelType w:val="multilevel"/>
    <w:tmpl w:val="EC6E00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AD"/>
    <w:rsid w:val="003714AD"/>
    <w:rsid w:val="00517A9A"/>
    <w:rsid w:val="009A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3B82"/>
  <w15:docId w15:val="{CA48A3EB-2AA7-469E-BA25-9D562B05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i/>
      <w:iCs/>
      <w:sz w:val="28"/>
      <w:szCs w:val="28"/>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spacing w:after="100"/>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517A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trang@rela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 (CỤC THUẾ</dc:title>
  <dc:subject/>
  <dc:creator>Tong Cuc Thue</dc:creator>
  <cp:keywords/>
  <cp:lastModifiedBy>Admin</cp:lastModifiedBy>
  <cp:revision>2</cp:revision>
  <dcterms:created xsi:type="dcterms:W3CDTF">2024-12-31T08:31:00Z</dcterms:created>
  <dcterms:modified xsi:type="dcterms:W3CDTF">2024-12-31T08:38:00Z</dcterms:modified>
</cp:coreProperties>
</file>